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3"/>
        <w:gridCol w:w="11"/>
        <w:gridCol w:w="890"/>
        <w:gridCol w:w="901"/>
        <w:gridCol w:w="208"/>
        <w:gridCol w:w="439"/>
        <w:gridCol w:w="254"/>
        <w:gridCol w:w="132"/>
        <w:gridCol w:w="769"/>
        <w:gridCol w:w="901"/>
        <w:gridCol w:w="148"/>
        <w:gridCol w:w="741"/>
        <w:gridCol w:w="12"/>
        <w:gridCol w:w="901"/>
        <w:gridCol w:w="72"/>
        <w:gridCol w:w="540"/>
        <w:gridCol w:w="289"/>
        <w:gridCol w:w="21"/>
        <w:gridCol w:w="880"/>
        <w:gridCol w:w="903"/>
      </w:tblGrid>
      <w:tr w:rsidR="00E0786F" w:rsidRPr="00422BF1" w14:paraId="7240F49E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54D7B4D3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E0786F" w:rsidRPr="00422BF1" w14:paraId="1A1DE29A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F535CD" w14:textId="77777777" w:rsidR="00E0786F" w:rsidRPr="00422BF1" w:rsidRDefault="00E0786F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ZARZĄDZANIERELACJAMIPRACOWNICZYMI"/>
            <w:bookmarkStart w:id="1" w:name="_Toc497983177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ZARZĄDZANIE RELACJAMI PRACOWNICZYMI</w:t>
            </w:r>
            <w:bookmarkEnd w:id="0"/>
            <w:bookmarkEnd w:id="1"/>
          </w:p>
        </w:tc>
      </w:tr>
      <w:tr w:rsidR="00E0786F" w:rsidRPr="007949FD" w14:paraId="1186CA92" w14:textId="77777777" w:rsidTr="008C1BDC">
        <w:trPr>
          <w:trHeight w:val="580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78ADB5B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50DE86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198C58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4CDEA249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1404A6FC" w14:textId="77777777" w:rsidR="00E0786F" w:rsidRPr="007949FD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E0786F" w:rsidRPr="00422BF1" w14:paraId="17BCF3CD" w14:textId="77777777" w:rsidTr="008C1BDC">
        <w:trPr>
          <w:trHeight w:val="554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B15FF4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EF487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E0786F" w:rsidRPr="00422BF1" w14:paraId="1D7B0177" w14:textId="77777777" w:rsidTr="008C1BDC">
        <w:trPr>
          <w:trHeight w:val="554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6E1B3C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BA848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E0786F" w:rsidRPr="00422BF1" w14:paraId="2C47F3F1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2F4049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606D25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E0786F" w:rsidRPr="00422BF1" w14:paraId="20723707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F6633A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D9467E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E0786F" w:rsidRPr="00422BF1" w14:paraId="7C3A9BBD" w14:textId="77777777" w:rsidTr="008C1BDC">
        <w:trPr>
          <w:trHeight w:val="173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8B5C6B5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94EC50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III/VI</w:t>
            </w:r>
          </w:p>
        </w:tc>
      </w:tr>
      <w:tr w:rsidR="00E0786F" w:rsidRPr="00422BF1" w14:paraId="73A88A1C" w14:textId="77777777" w:rsidTr="008C1BDC">
        <w:trPr>
          <w:trHeight w:val="173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F75AA5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143E59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>mgr Monika Mikołajewska</w:t>
            </w:r>
          </w:p>
        </w:tc>
      </w:tr>
      <w:tr w:rsidR="00E0786F" w:rsidRPr="00422BF1" w14:paraId="09CCB2FA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3C753B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E2D9DD" w14:textId="77777777" w:rsidR="00E0786F" w:rsidRPr="00422BF1" w:rsidRDefault="00E0786F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Znajomość podstawowej terminologii socjologicznej psychologicznej oraz zasadniczych prawidłowości występujących w życiu społecznym. Wiedza na temat polityki, personalnej, strategii zarządzania, podstaw zarządzania organizacjami, przywództwa i kierowania, problematyką rozwoju zawodowego.</w:t>
            </w:r>
          </w:p>
        </w:tc>
      </w:tr>
      <w:tr w:rsidR="00E0786F" w:rsidRPr="00422BF1" w14:paraId="0FF3DF2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CFAE36F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E0786F" w:rsidRPr="00422BF1" w14:paraId="1D192056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E67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A0B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F0254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1A7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22DE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7E1B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B6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75D2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BD40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106C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Egzamin/ 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3FDB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E0786F" w:rsidRPr="00422BF1" w14:paraId="109D4981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485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842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9A8FA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ACD9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B6A2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285D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448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2F6E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60A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003E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718C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32</w:t>
            </w:r>
          </w:p>
        </w:tc>
      </w:tr>
      <w:tr w:rsidR="00E0786F" w:rsidRPr="00422BF1" w14:paraId="24FF36F7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A5D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09FD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18038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487A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74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7929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CFC5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830C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2BF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7CF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51E1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E0786F" w:rsidRPr="00422BF1" w14:paraId="208A6D0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DEC627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E0786F" w:rsidRPr="00422BF1" w14:paraId="31298452" w14:textId="77777777" w:rsidTr="008C1BDC">
        <w:trPr>
          <w:jc w:val="center"/>
        </w:trPr>
        <w:tc>
          <w:tcPr>
            <w:tcW w:w="336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985CB35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2" w:type="dxa"/>
            <w:gridSpan w:val="1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D1A16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E0786F" w:rsidRPr="00422BF1" w14:paraId="18F3F875" w14:textId="77777777" w:rsidTr="008C1BDC">
        <w:trPr>
          <w:jc w:val="center"/>
        </w:trPr>
        <w:tc>
          <w:tcPr>
            <w:tcW w:w="336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0C61575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Konwersatorium</w:t>
            </w:r>
          </w:p>
        </w:tc>
        <w:tc>
          <w:tcPr>
            <w:tcW w:w="7002" w:type="dxa"/>
            <w:gridSpan w:val="1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31F0E9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podająca, dyskusja, prezentacja multimedialna, analiza przypadków</w:t>
            </w:r>
          </w:p>
        </w:tc>
      </w:tr>
      <w:tr w:rsidR="00E0786F" w:rsidRPr="00422BF1" w14:paraId="31F6FA7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628F63DD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E0786F" w:rsidRPr="00422BF1" w14:paraId="2202709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AF27CC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9627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3435D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E0786F" w:rsidRPr="00422BF1" w14:paraId="725E2395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2A72C5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E0786F" w:rsidRPr="00422BF1" w14:paraId="3544FF0B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087FAA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68A65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podstawowe typy relacji, ich uwarunkowania i konsekwencje dla jednostki i organizacji.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17F5F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K_W04, K_W06,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K_W16</w:t>
            </w:r>
          </w:p>
        </w:tc>
      </w:tr>
      <w:tr w:rsidR="00E0786F" w:rsidRPr="00422BF1" w14:paraId="6570B486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2F926C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29690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zasady tworzenia i rozwijania efektywnych zespołów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66D11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K_W04, K_W06</w:t>
            </w:r>
          </w:p>
        </w:tc>
      </w:tr>
      <w:tr w:rsidR="00E0786F" w:rsidRPr="00422BF1" w14:paraId="255EDFE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FCA6FF8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6372B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znaczenie tworzenia etycznych relacji społecznych w organizacji oraz konsekwencje ich stosowania w procesie zarządzania zasobami ludzkimi w sferze organizacji i zasobów ludzkich.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EF1755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K_W04, K_W06</w:t>
            </w:r>
          </w:p>
        </w:tc>
      </w:tr>
      <w:tr w:rsidR="00E0786F" w:rsidRPr="00422BF1" w14:paraId="30A6BC5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3BFD04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>Umiejętności:</w:t>
            </w:r>
          </w:p>
        </w:tc>
      </w:tr>
      <w:tr w:rsidR="00E0786F" w:rsidRPr="00422BF1" w14:paraId="42BF05C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79523F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07418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dokonać analizy postaw i relacji społecznych w zespole i organizacji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C2A89D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K_U04, K_U06</w:t>
            </w:r>
          </w:p>
          <w:p w14:paraId="3DCB7E7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K_U07</w:t>
            </w:r>
          </w:p>
        </w:tc>
      </w:tr>
      <w:tr w:rsidR="00E0786F" w:rsidRPr="00422BF1" w14:paraId="6D9E72C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4E6543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F8260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wpływać na określony kształt postaw i relacji społecznych w zespole i organizacji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8957D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K_U04, K_U06</w:t>
            </w:r>
          </w:p>
          <w:p w14:paraId="0EFBD17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K_U07</w:t>
            </w:r>
          </w:p>
        </w:tc>
      </w:tr>
      <w:tr w:rsidR="00E0786F" w:rsidRPr="00422BF1" w14:paraId="7ACAA734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A5316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41301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 ocenić konsekwencje organizacyjne i indywidualne określonych postaw i relacji w zespole lub organizacji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39F33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K_U04, K_U06</w:t>
            </w:r>
          </w:p>
          <w:p w14:paraId="323372D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K_U07</w:t>
            </w:r>
          </w:p>
        </w:tc>
      </w:tr>
      <w:tr w:rsidR="00E0786F" w:rsidRPr="00422BF1" w14:paraId="28A6973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B7D800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E0786F" w:rsidRPr="00422BF1" w14:paraId="5CACABC8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A03012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0F50B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Rozumie swoją rolę w zespole i potrafi swoim zachowaniem wspierać pracę i zachowania innych.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D5445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K_K02, K_K04</w:t>
            </w:r>
          </w:p>
        </w:tc>
      </w:tr>
      <w:tr w:rsidR="00E0786F" w:rsidRPr="00422BF1" w14:paraId="1FF4A08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746F38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90352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Jest zdolny do skutecznego komunikowania się opartego na szacunku i poszanowaniu godności i potrzeb innych.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0117A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K_K02, K_K04</w:t>
            </w:r>
          </w:p>
        </w:tc>
      </w:tr>
      <w:tr w:rsidR="00E0786F" w:rsidRPr="00422BF1" w14:paraId="197DDA0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6C04759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E0786F" w:rsidRPr="00422BF1" w14:paraId="4A093886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C2311D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F6AC0" w14:textId="77777777" w:rsidR="00E0786F" w:rsidRPr="00422BF1" w:rsidRDefault="00E0786F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: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5F09D7" w14:textId="77777777" w:rsidR="00E0786F" w:rsidRPr="00422BF1" w:rsidRDefault="00E0786F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E0786F" w:rsidRPr="00422BF1" w14:paraId="581A1874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ECA481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C8B47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Pojęcie i kształt relacji interpersonalnych.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B7CC0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4417109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290F0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2672B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Postawy wobec pracy i pracodawcy - problem identyfikacji i lojalności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ACBE8D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0530628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E399DD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2918C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Relacje pracownicze - partycypacja pracownicza 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empowerment</w:t>
            </w:r>
            <w:proofErr w:type="spellEnd"/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E66EAB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4135197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C41793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30897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Relacje władzy w organizacji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FD871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3D8A105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D1F7B7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17B9F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Zarządzanie konfliktem.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805D5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3CE3246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4A116B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07CA2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Podmiotowość człowieka w organizacji.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EA484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79477E6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0F7889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0ADAC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Tworzenie i rozwijanie zespołów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5399F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449697F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6CA6E5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KW8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90AB3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Przywództwo i etyka w relacjach organizacyjnych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1C6D3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P_W01, P_W02, P_W03, P_U01,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P_U02, P_U03, P_K01, P_K02</w:t>
            </w:r>
          </w:p>
        </w:tc>
      </w:tr>
      <w:tr w:rsidR="00E0786F" w:rsidRPr="00422BF1" w14:paraId="740D180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04FE4E5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VI. METODY WERYFIKACJI EFEKTÓW KSZTAŁCENIA</w:t>
            </w:r>
          </w:p>
        </w:tc>
      </w:tr>
      <w:tr w:rsidR="00E0786F" w:rsidRPr="00422BF1" w14:paraId="6465B979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60BC6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7D9A3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Metoda weryfikacji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D51A7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Forma zajęć, w ramach której weryfikowany jest EK</w:t>
            </w:r>
          </w:p>
        </w:tc>
      </w:tr>
      <w:tr w:rsidR="00E0786F" w:rsidRPr="00422BF1" w14:paraId="0489239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D893A2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Wiedza:</w:t>
            </w:r>
          </w:p>
        </w:tc>
      </w:tr>
      <w:tr w:rsidR="00E0786F" w:rsidRPr="00422BF1" w14:paraId="15CA9D2C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C282D6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1B8EE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00625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7F2B1FB5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8FC5F7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79188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C6C973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5C40A490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46C684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939A5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553E3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1783BAE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6F60753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E0786F" w:rsidRPr="00422BF1" w14:paraId="49C29FA7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3A692F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05C5B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C3CE0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23AFA686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A73B8B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1FF4C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2BF70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3235DE4F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4942F4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5C2E1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720BA8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6FBB713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79E51F8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E0786F" w:rsidRPr="00422BF1" w14:paraId="1904C4B7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4F2621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98E14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BC75E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491A6D7D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6FB5C1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A0194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EB6F5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5EC1179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5E71FF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E0786F" w:rsidRPr="00422BF1" w14:paraId="070619E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0B41C02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4C20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7BAC217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DB2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57BF2F1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D943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58ABD12E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84AB5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46AD7248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E0786F" w:rsidRPr="00422BF1" w14:paraId="3227EEB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01CCCC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791B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podstawowych typów relacji, ich uwarunkowań i konsekwencji dla jednostki i organizacji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D89D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 typy relacji społecznych w organizacji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D188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 typy relacji, społecznych w organizacji i ich uwarunkowania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13BC35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 typy relacji, ich uwarunkowania i konsekwencje dla jednostki i organizacji</w:t>
            </w:r>
          </w:p>
        </w:tc>
      </w:tr>
      <w:tr w:rsidR="00E0786F" w:rsidRPr="00422BF1" w14:paraId="1F48366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FD6B19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273A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zasady tworzenia i rozwijania efektywnych zespołów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B91C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zasady tworzenia efektywnych zespołów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45D6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zasady tworzenia i rozwijania efektywnych zespołów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7017A8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zasady tworzenia i rozwijania efektywnych zespołów oraz role funkcjonalne i dysfunkcjonalne dla działań zespołowych</w:t>
            </w:r>
          </w:p>
        </w:tc>
      </w:tr>
      <w:tr w:rsidR="00E0786F" w:rsidRPr="00422BF1" w14:paraId="3B416D7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05C44B2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1F6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znaczenie tworzenia etycznych relacji społecznych w organizacji oraz konsekwencje ich stosowania w procesie zarządzania zasobami ludzkimi w sferze organizacji i zasobów ludzkich.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4A75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znaczenie tworzenia etycznych relacji społecznych w organizacji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4FCBD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znaczenie tworzenia etycznych relacji społecznych w organizacji oraz konsekwencje ich stosowania w procesie zarządzania zasobami ludzkimi w sferze  zasobów ludzkich.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20BEB9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znaczenie tworzenia etycznych relacji społecznych w organizacji oraz konsekwencje ich stosowania w procesie zarządzania zasobami ludzkimi w sferze organizacji i zasobów ludzkich.</w:t>
            </w:r>
          </w:p>
        </w:tc>
      </w:tr>
      <w:tr w:rsidR="00E0786F" w:rsidRPr="00422BF1" w14:paraId="071658D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8103E4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2D6E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dokonać analizy postaw i relacji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społecznych w zespole i organizacji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C42D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dokonać analizy postaw i relacji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społecznych w zespole i organizacji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C74B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dokonać analizy postaw i relacji społecznych w zespole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i organizacji z podziałem na zachowania dysfunkcyjne i funkcjonalne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27709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dokonać analizy postaw i relacji społecznych w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zespole i organizacji z podziałem na zachowania dysfunkcyjne i funkcjonalne z zastosowaniem metod socjometrycznych</w:t>
            </w:r>
          </w:p>
        </w:tc>
      </w:tr>
      <w:tr w:rsidR="00E0786F" w:rsidRPr="00422BF1" w14:paraId="083662F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F5A4A93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BE4E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wpływać na określony kształt postaw i relacji społecznych w zespole i organizacji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8992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wpływać na określony kształt postaw i relacji społecznych w zespole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7577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wpływać na określony kształt postaw i relacji społecznych w zespole i organizacji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4326DB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wpływać na określony kształt postaw i relacji społecznych w zespole i organizacji i reagować na zachowania dysfunkcjonalne</w:t>
            </w:r>
          </w:p>
        </w:tc>
      </w:tr>
      <w:tr w:rsidR="00E0786F" w:rsidRPr="00422BF1" w14:paraId="051DAD1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980966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68A2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 ocenić konsekwencje organizacyjne i indywidualne określonych postaw i relacji w zespole lub organizacji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EDA1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konsekwencje organizacyjne określonych postaw i relacji w zespole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267E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konsekwencje organizacyjne i indywidualne określonych postaw i relacji w zespole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18A279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konsekwencje organizacyjne i indywidualne określonych postaw i relacji w zespole lub organizacji</w:t>
            </w:r>
          </w:p>
        </w:tc>
      </w:tr>
      <w:tr w:rsidR="00E0786F" w:rsidRPr="00422BF1" w14:paraId="69B17F3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E86EB0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26B6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zrozumieć swojej roli w zespole i swoim zachowaniem wspierać pracy i zachowań innych.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FAA7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zrozumieć swoją rolę w zespole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C1CF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swoją rolę w zespole i wspiera pracę innych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BFA88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swoją rolę w zespole, wspiera pracę innych, swoim zachowaniem pozytywnie wpływa na innych</w:t>
            </w:r>
          </w:p>
        </w:tc>
      </w:tr>
      <w:tr w:rsidR="00E0786F" w:rsidRPr="00422BF1" w14:paraId="495944F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9693219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3C4D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z szacunkiem i poszanowaniem godności i potrzeb innych.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4660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z uwzględnieniem potrzeb innych.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955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okazują szacunek dla innych opinii.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3C8F7B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okazując szacunek i uwzględniając potrzeby innych</w:t>
            </w:r>
          </w:p>
        </w:tc>
      </w:tr>
      <w:tr w:rsidR="00E0786F" w:rsidRPr="00422BF1" w14:paraId="1B785550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0B7851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E0786F" w:rsidRPr="00422BF1" w14:paraId="3DF819E4" w14:textId="77777777" w:rsidTr="008C1BDC">
        <w:trPr>
          <w:jc w:val="center"/>
        </w:trPr>
        <w:tc>
          <w:tcPr>
            <w:tcW w:w="6750" w:type="dxa"/>
            <w:gridSpan w:val="1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6D8EC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700ADD1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8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D0A28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Obciążenie studenta</w:t>
            </w:r>
          </w:p>
        </w:tc>
      </w:tr>
      <w:tr w:rsidR="00E0786F" w:rsidRPr="00422BF1" w14:paraId="560A7949" w14:textId="77777777" w:rsidTr="008C1BDC">
        <w:trPr>
          <w:jc w:val="center"/>
        </w:trPr>
        <w:tc>
          <w:tcPr>
            <w:tcW w:w="6750" w:type="dxa"/>
            <w:gridSpan w:val="1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061B9D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E436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4DB44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E0786F" w:rsidRPr="00422BF1" w14:paraId="751754AC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ADBCFC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E81C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854E3D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E0786F" w:rsidRPr="00422BF1" w14:paraId="4519DEE9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B183483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339F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F3914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E0786F" w:rsidRPr="00422BF1" w14:paraId="4AEF6CC2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C89635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5D502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B968A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E0786F" w:rsidRPr="00422BF1" w14:paraId="084101E3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E2C35E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BC5B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7BDFB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E0786F" w:rsidRPr="00422BF1" w14:paraId="06CFAC4A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F2159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41D9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5EE04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45</w:t>
            </w:r>
          </w:p>
        </w:tc>
      </w:tr>
      <w:tr w:rsidR="00E0786F" w:rsidRPr="00422BF1" w14:paraId="0873B1CD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8113CD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7F98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0C2EF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E0786F" w:rsidRPr="00422BF1" w14:paraId="728C3C74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978ABA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F4AD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C6F405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75/3 ECTS</w:t>
            </w:r>
          </w:p>
        </w:tc>
      </w:tr>
      <w:tr w:rsidR="00E0786F" w:rsidRPr="00422BF1" w14:paraId="4D209ABB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8F829C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75FA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CE6C6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E0786F" w:rsidRPr="00422BF1" w14:paraId="04094E80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6DCDB6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39E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49CB4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E0786F" w:rsidRPr="00422BF1" w14:paraId="7315E2B5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4152BD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F987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C80FE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E0786F" w:rsidRPr="00422BF1" w14:paraId="2660BB11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9A72DE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8899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E2AF02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E0786F" w:rsidRPr="00422BF1" w14:paraId="4675928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7F53EC2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E0786F" w:rsidRPr="00422BF1" w14:paraId="13FEFAA6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83677D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7725F874" w14:textId="77777777" w:rsidR="00E0786F" w:rsidRPr="00422BF1" w:rsidRDefault="00E0786F" w:rsidP="00E0786F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Bugdol, Gry i zachowania nieetyczne w organizacji,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CDiI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Difin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Warszawa 2007.</w:t>
            </w:r>
          </w:p>
          <w:p w14:paraId="06B97660" w14:textId="77777777" w:rsidR="00E0786F" w:rsidRPr="00422BF1" w:rsidRDefault="00E0786F" w:rsidP="00E0786F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J. Bernstein, S.C.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Rozen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Dinozaury są wśród nas, PWN, Warszawa 1992.</w:t>
            </w:r>
          </w:p>
        </w:tc>
      </w:tr>
      <w:tr w:rsidR="00E0786F" w:rsidRPr="00422BF1" w14:paraId="5CD0AD2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7E26781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03A9985C" w14:textId="77777777" w:rsidR="00E0786F" w:rsidRPr="00422BF1" w:rsidRDefault="00E0786F" w:rsidP="00E0786F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Lipka A.,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Winnicka-Wejs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A.,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Acedański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J. [2012], Lojalność pracownicza. Od diagnozy typów lojalności pracowników do zarządzania Relacjami z Pracownikami, DIFIN, Warszawa. 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6.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Minchington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B., Thorne K. [2007], Measuring the Effectiveness of Your Employer Brand, „Human Resources Magazine” No. 10-11</w:t>
            </w:r>
          </w:p>
          <w:p w14:paraId="1C46A265" w14:textId="77777777" w:rsidR="00E0786F" w:rsidRPr="00422BF1" w:rsidRDefault="00E0786F" w:rsidP="00E0786F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Moczydłowska, Błędy w zarządzaniu relacjami z pracownikami, http://moczydlowska.pl/files/B--DY-W-ZARZ-DZANIU-RELACJAMI-z-PRACOWNIKAMI.pdf</w:t>
            </w:r>
          </w:p>
        </w:tc>
      </w:tr>
      <w:tr w:rsidR="00E0786F" w:rsidRPr="00422BF1" w14:paraId="53D3120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903877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  <w:r w:rsidRPr="00422BF1">
              <w:rPr>
                <w:rFonts w:cstheme="minorHAnsi"/>
                <w:snapToGrid w:val="0"/>
                <w:sz w:val="20"/>
                <w:szCs w:val="20"/>
              </w:rPr>
              <w:t>http://markapracodawcy.pl/sprawdzone-narzedzia-employer-branding</w:t>
            </w: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/</w:t>
            </w:r>
          </w:p>
        </w:tc>
      </w:tr>
    </w:tbl>
    <w:p w14:paraId="714DB0C5" w14:textId="77777777" w:rsidR="00B75283" w:rsidRPr="00E0786F" w:rsidRDefault="00B75283" w:rsidP="00E0786F"/>
    <w:sectPr w:rsidR="00B75283" w:rsidRPr="00E07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F2AF7"/>
    <w:multiLevelType w:val="hybridMultilevel"/>
    <w:tmpl w:val="E3C477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8510123"/>
    <w:multiLevelType w:val="hybridMultilevel"/>
    <w:tmpl w:val="AD6C787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5115F"/>
    <w:multiLevelType w:val="hybridMultilevel"/>
    <w:tmpl w:val="C7EE7D82"/>
    <w:lvl w:ilvl="0" w:tplc="B28659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95C71"/>
    <w:multiLevelType w:val="hybridMultilevel"/>
    <w:tmpl w:val="5EEAD378"/>
    <w:lvl w:ilvl="0" w:tplc="7844502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A3A0F"/>
    <w:multiLevelType w:val="hybridMultilevel"/>
    <w:tmpl w:val="1E48F98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771C3E3B"/>
    <w:multiLevelType w:val="hybridMultilevel"/>
    <w:tmpl w:val="3C10B96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5"/>
  </w:num>
  <w:num w:numId="2" w16cid:durableId="487677522">
    <w:abstractNumId w:val="21"/>
  </w:num>
  <w:num w:numId="3" w16cid:durableId="1687291802">
    <w:abstractNumId w:val="7"/>
  </w:num>
  <w:num w:numId="4" w16cid:durableId="316694044">
    <w:abstractNumId w:val="30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31"/>
  </w:num>
  <w:num w:numId="8" w16cid:durableId="1468863246">
    <w:abstractNumId w:val="42"/>
  </w:num>
  <w:num w:numId="9" w16cid:durableId="1693803006">
    <w:abstractNumId w:val="27"/>
  </w:num>
  <w:num w:numId="10" w16cid:durableId="481897004">
    <w:abstractNumId w:val="12"/>
  </w:num>
  <w:num w:numId="11" w16cid:durableId="1977100499">
    <w:abstractNumId w:val="10"/>
  </w:num>
  <w:num w:numId="12" w16cid:durableId="1769502453">
    <w:abstractNumId w:val="40"/>
  </w:num>
  <w:num w:numId="13" w16cid:durableId="630675721">
    <w:abstractNumId w:val="23"/>
  </w:num>
  <w:num w:numId="14" w16cid:durableId="1415198656">
    <w:abstractNumId w:val="29"/>
  </w:num>
  <w:num w:numId="15" w16cid:durableId="1853642029">
    <w:abstractNumId w:val="6"/>
  </w:num>
  <w:num w:numId="16" w16cid:durableId="2142384369">
    <w:abstractNumId w:val="38"/>
  </w:num>
  <w:num w:numId="17" w16cid:durableId="1406879828">
    <w:abstractNumId w:val="36"/>
  </w:num>
  <w:num w:numId="18" w16cid:durableId="693309631">
    <w:abstractNumId w:val="13"/>
  </w:num>
  <w:num w:numId="19" w16cid:durableId="1755004236">
    <w:abstractNumId w:val="34"/>
  </w:num>
  <w:num w:numId="20" w16cid:durableId="1793791907">
    <w:abstractNumId w:val="33"/>
  </w:num>
  <w:num w:numId="21" w16cid:durableId="773861299">
    <w:abstractNumId w:val="28"/>
  </w:num>
  <w:num w:numId="22" w16cid:durableId="306084109">
    <w:abstractNumId w:val="3"/>
  </w:num>
  <w:num w:numId="23" w16cid:durableId="48001102">
    <w:abstractNumId w:val="37"/>
  </w:num>
  <w:num w:numId="24" w16cid:durableId="934089934">
    <w:abstractNumId w:val="19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6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20"/>
  </w:num>
  <w:num w:numId="31" w16cid:durableId="635378986">
    <w:abstractNumId w:val="18"/>
  </w:num>
  <w:num w:numId="32" w16cid:durableId="639964124">
    <w:abstractNumId w:val="17"/>
  </w:num>
  <w:num w:numId="33" w16cid:durableId="1576546634">
    <w:abstractNumId w:val="0"/>
  </w:num>
  <w:num w:numId="34" w16cid:durableId="2093700977">
    <w:abstractNumId w:val="41"/>
  </w:num>
  <w:num w:numId="35" w16cid:durableId="604312884">
    <w:abstractNumId w:val="16"/>
  </w:num>
  <w:num w:numId="36" w16cid:durableId="414474836">
    <w:abstractNumId w:val="15"/>
  </w:num>
  <w:num w:numId="37" w16cid:durableId="2010791079">
    <w:abstractNumId w:val="14"/>
  </w:num>
  <w:num w:numId="38" w16cid:durableId="903494394">
    <w:abstractNumId w:val="22"/>
  </w:num>
  <w:num w:numId="39" w16cid:durableId="1885099669">
    <w:abstractNumId w:val="24"/>
  </w:num>
  <w:num w:numId="40" w16cid:durableId="1736589374">
    <w:abstractNumId w:val="39"/>
  </w:num>
  <w:num w:numId="41" w16cid:durableId="101535687">
    <w:abstractNumId w:val="32"/>
  </w:num>
  <w:num w:numId="42" w16cid:durableId="186481247">
    <w:abstractNumId w:val="25"/>
  </w:num>
  <w:num w:numId="43" w16cid:durableId="926700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01054"/>
    <w:rsid w:val="00186F37"/>
    <w:rsid w:val="00253282"/>
    <w:rsid w:val="003B2C7A"/>
    <w:rsid w:val="003F3007"/>
    <w:rsid w:val="005326DA"/>
    <w:rsid w:val="005856D8"/>
    <w:rsid w:val="006035F4"/>
    <w:rsid w:val="00713CAD"/>
    <w:rsid w:val="007462E2"/>
    <w:rsid w:val="007F0E1C"/>
    <w:rsid w:val="009656B4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37BB9"/>
    <w:rsid w:val="00C83247"/>
    <w:rsid w:val="00C8370D"/>
    <w:rsid w:val="00D52461"/>
    <w:rsid w:val="00DE0DE5"/>
    <w:rsid w:val="00E0786F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1295</Words>
  <Characters>7772</Characters>
  <Application>Microsoft Office Word</Application>
  <DocSecurity>0</DocSecurity>
  <Lines>64</Lines>
  <Paragraphs>18</Paragraphs>
  <ScaleCrop>false</ScaleCrop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2024-11-12T09:40:00Z</dcterms:created>
  <dcterms:modified xsi:type="dcterms:W3CDTF">2024-11-12T09:40:00Z</dcterms:modified>
</cp:coreProperties>
</file>